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C9" w:rsidRPr="006B25CF" w:rsidRDefault="009F794E" w:rsidP="00E75877">
      <w:pPr>
        <w:tabs>
          <w:tab w:val="left" w:pos="322"/>
        </w:tabs>
        <w:spacing w:after="0" w:line="240" w:lineRule="auto"/>
        <w:jc w:val="both"/>
        <w:rPr>
          <w:rFonts w:ascii="Myriad Pro" w:eastAsia="Times New Roman" w:hAnsi="Myriad Pro" w:cs="Arial"/>
          <w:b/>
          <w:bCs/>
          <w:color w:val="767676"/>
          <w:sz w:val="26"/>
          <w:szCs w:val="26"/>
          <w:lang w:val="en-US"/>
        </w:rPr>
      </w:pPr>
      <w:r w:rsidRPr="006B25CF">
        <w:rPr>
          <w:rFonts w:ascii="Myriad Pro" w:eastAsia="Times New Roman" w:hAnsi="Myriad Pro" w:cs="Arial"/>
          <w:b/>
          <w:bCs/>
          <w:color w:val="767676"/>
          <w:sz w:val="26"/>
          <w:szCs w:val="26"/>
          <w:lang w:val="en-US"/>
        </w:rPr>
        <w:t>General notes</w:t>
      </w:r>
    </w:p>
    <w:p w:rsidR="006004C9" w:rsidRPr="006B25CF" w:rsidRDefault="006004C9" w:rsidP="00E75877">
      <w:pPr>
        <w:tabs>
          <w:tab w:val="left" w:pos="322"/>
        </w:tabs>
        <w:spacing w:after="0" w:line="240" w:lineRule="auto"/>
        <w:jc w:val="both"/>
        <w:rPr>
          <w:rFonts w:ascii="Myriad Pro" w:eastAsia="Times New Roman" w:hAnsi="Myriad Pro" w:cs="Arial"/>
          <w:bCs/>
          <w:color w:val="767676"/>
          <w:sz w:val="20"/>
          <w:szCs w:val="20"/>
          <w:lang w:val="en-US"/>
        </w:rPr>
      </w:pPr>
    </w:p>
    <w:p w:rsidR="00CC787C" w:rsidRPr="006B25CF" w:rsidRDefault="00CC787C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1. Data in the Statistical Bulletin, unless otherwise indicated, are presented according to administrative division of the country in a given period.</w:t>
      </w:r>
    </w:p>
    <w:p w:rsidR="00CC787C" w:rsidRPr="003212FD" w:rsidRDefault="00CC787C" w:rsidP="003212FD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2. 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Data presented by </w:t>
      </w:r>
      <w:r w:rsidR="003212FD" w:rsidRPr="003212FD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regions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and </w:t>
      </w:r>
      <w:proofErr w:type="spellStart"/>
      <w:r w:rsidR="003212FD" w:rsidRPr="003212FD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subregions</w:t>
      </w:r>
      <w:proofErr w:type="spellEnd"/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correspond to separate levels of</w:t>
      </w:r>
      <w:r w:rsid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obligatory in the European Union countries, the Nomenclature of Territorial Units for Statistics (NUTS),</w:t>
      </w:r>
      <w:r w:rsid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introduced by the Regulation (EC) No. 1059/2003 of the European Parliament and of the Council, dated</w:t>
      </w:r>
      <w:r w:rsid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26th May 2003, with later amendments. Since 1</w:t>
      </w:r>
      <w:r w:rsidR="00E72DE0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January 2018, the amendments introduced by the Commission</w:t>
      </w:r>
      <w:r w:rsid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Regulation (EU) 2016/2066, dated 21 November 201</w:t>
      </w:r>
      <w:r w:rsidR="00B150E9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6</w:t>
      </w:r>
      <w:bookmarkStart w:id="0" w:name="_GoBack"/>
      <w:bookmarkEnd w:id="0"/>
      <w:r w:rsidR="003212FD" w:rsidRPr="003212FD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, are valid.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3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. The data contained in the Statistical Bulletin have been presented in accordance with </w:t>
      </w:r>
      <w:r w:rsidR="009F794E" w:rsidRPr="008A4F00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 xml:space="preserve">the Polish Classification of Activities – </w:t>
      </w:r>
      <w:proofErr w:type="spellStart"/>
      <w:r w:rsidR="009F794E" w:rsidRPr="008A4F00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PKD</w:t>
      </w:r>
      <w:proofErr w:type="spellEnd"/>
      <w:r w:rsidR="009F794E" w:rsidRPr="008A4F00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 xml:space="preserve"> 2007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, compiled on the basis of Statistical Classification of Economic Activities in the European Community – NACE Rev. 2. 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PKD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2007 was introduced on 1st January 2008 by the decree of Council of Ministers dated 24</w:t>
      </w:r>
      <w:r w:rsidR="00E72DE0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December 2007 (Journal of Laws No. 251, item 1885) and replaced the 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PKD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2004 (NACE 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Rev.1.1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).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4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. Statistical data are presented in accordance with NACE Rev. 2 as arranged by sections, divisions and, in certain cases, groups.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5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. The category – Industry – used in the Bulletin, refers to the NACE Rev. 2 sections: 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“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Mining and quarrying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”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, 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“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Manufacturing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”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, 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“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Electricity, gas, steam and air conditioning supply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”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and 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“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Water supply; sewerage, waste management and remediation activities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”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6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. Presented data cover units of the national economy regardless of ownership.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7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. Data are compiled according to the respective organizational status of units of the national economy.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8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. The term </w:t>
      </w:r>
      <w:r w:rsidR="009F794E" w:rsidRPr="0014693D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entities of the national economy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is understood as legal entities, i.e.: legal persons, organizational entities without legal personality as well as natural persons conducting economic activity.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9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. The term </w:t>
      </w:r>
      <w:r w:rsidR="009F794E" w:rsidRPr="0014693D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economic entities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is understood as entities conducting economic activity, i.e., production and service activity, on their own-account in order to earn a profit</w:t>
      </w:r>
      <w:r w:rsidR="009F794E" w:rsidRPr="006B25CF">
        <w:rPr>
          <w:rFonts w:ascii="Myriad Pro" w:hAnsi="Myriad Pro" w:cs="MyriadPro-Regular"/>
          <w:color w:val="767676"/>
          <w:sz w:val="19"/>
          <w:szCs w:val="19"/>
          <w:lang w:val="en-US"/>
        </w:rPr>
        <w:t>.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227" w:hanging="227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10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. In the Statistical Bulletin, </w:t>
      </w:r>
      <w:r w:rsidR="009F794E" w:rsidRPr="0014693D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monthly and quarterly data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in regard to:</w:t>
      </w:r>
    </w:p>
    <w:p w:rsidR="005407D7" w:rsidRPr="006B25CF" w:rsidRDefault="009F794E" w:rsidP="004F048A">
      <w:pPr>
        <w:autoSpaceDE w:val="0"/>
        <w:autoSpaceDN w:val="0"/>
        <w:adjustRightInd w:val="0"/>
        <w:spacing w:before="120" w:after="0" w:line="22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a) </w:t>
      </w:r>
      <w:proofErr w:type="gramStart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employed</w:t>
      </w:r>
      <w:proofErr w:type="gramEnd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persons, employment as well as wages and salaries concern entities of the national economy in which the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number of employed persons exceeds 9 persons; data do not include paid employees abroad (excluding employed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persons) and in social and political organizations, trade unions, etc.</w:t>
      </w:r>
    </w:p>
    <w:p w:rsidR="009F794E" w:rsidRPr="006B25CF" w:rsidRDefault="009F794E" w:rsidP="004F048A">
      <w:pPr>
        <w:autoSpaceDE w:val="0"/>
        <w:autoSpaceDN w:val="0"/>
        <w:adjustRightInd w:val="0"/>
        <w:spacing w:after="120" w:line="220" w:lineRule="exact"/>
        <w:ind w:left="765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In quarterly </w:t>
      </w:r>
      <w:proofErr w:type="gramStart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periods</w:t>
      </w:r>
      <w:proofErr w:type="gramEnd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only average monthly total wages and salaries include complete statistical population;</w:t>
      </w:r>
    </w:p>
    <w:p w:rsidR="009F794E" w:rsidRPr="006B25CF" w:rsidRDefault="009F794E" w:rsidP="00D77AF0">
      <w:pPr>
        <w:autoSpaceDE w:val="0"/>
        <w:autoSpaceDN w:val="0"/>
        <w:adjustRightInd w:val="0"/>
        <w:spacing w:before="120" w:after="120" w:line="22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b) financial results of non-financial enterprises and investment outlays and newly started investments refer to economic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entities keeping accounting ledgers (with the exception of units conducting economic activity included, in accordance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with the NACE Rev. 2, in the section ’’Agriculture, forestry and fishing’’ and ’’Financial and insurance activities’’), in which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the number of employed persons exceeds 49 persons;</w:t>
      </w:r>
    </w:p>
    <w:p w:rsidR="005407D7" w:rsidRPr="006B25CF" w:rsidRDefault="009F794E" w:rsidP="00D77AF0">
      <w:pPr>
        <w:autoSpaceDE w:val="0"/>
        <w:autoSpaceDN w:val="0"/>
        <w:adjustRightInd w:val="0"/>
        <w:spacing w:before="120" w:after="120" w:line="22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c) </w:t>
      </w:r>
      <w:proofErr w:type="gramStart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procurement</w:t>
      </w:r>
      <w:proofErr w:type="gramEnd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of agricultural products:</w:t>
      </w:r>
    </w:p>
    <w:p w:rsidR="009F794E" w:rsidRPr="006B25CF" w:rsidRDefault="009F794E" w:rsidP="00D77AF0">
      <w:pPr>
        <w:autoSpaceDE w:val="0"/>
        <w:autoSpaceDN w:val="0"/>
        <w:adjustRightInd w:val="0"/>
        <w:spacing w:before="120" w:after="120" w:line="220" w:lineRule="exact"/>
        <w:ind w:left="596" w:hanging="142"/>
        <w:jc w:val="both"/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• </w:t>
      </w:r>
      <w:proofErr w:type="gramStart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for</w:t>
      </w:r>
      <w:proofErr w:type="gramEnd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monthly periods concerns data reported on the quantity of procurement by legal persons and independent</w:t>
      </w:r>
      <w:r w:rsidR="005407D7"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organizational entities without legal personality,</w:t>
      </w:r>
    </w:p>
    <w:p w:rsidR="009F794E" w:rsidRPr="006B25CF" w:rsidRDefault="009F794E" w:rsidP="00D77AF0">
      <w:pPr>
        <w:autoSpaceDE w:val="0"/>
        <w:autoSpaceDN w:val="0"/>
        <w:adjustRightInd w:val="0"/>
        <w:spacing w:before="120" w:after="120" w:line="220" w:lineRule="exact"/>
        <w:ind w:left="596" w:hanging="142"/>
        <w:jc w:val="both"/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• </w:t>
      </w:r>
      <w:proofErr w:type="gramStart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for</w:t>
      </w:r>
      <w:proofErr w:type="gramEnd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semi-annual periods (with a one month delay) data include revisions resulting from reports for the semi-annual</w:t>
      </w:r>
      <w:r w:rsidR="005407D7"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periods and also include procurement by natural persons when its value exceeds 10 thous</w:t>
      </w:r>
      <w:r w:rsidR="00E72DE0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and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</w:t>
      </w:r>
      <w:r w:rsidR="00E72DE0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PLN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in semi-annual periods.</w:t>
      </w:r>
    </w:p>
    <w:p w:rsidR="009F794E" w:rsidRPr="006B25CF" w:rsidRDefault="009F794E" w:rsidP="00D77AF0">
      <w:pPr>
        <w:autoSpaceDE w:val="0"/>
        <w:autoSpaceDN w:val="0"/>
        <w:adjustRightInd w:val="0"/>
        <w:spacing w:before="120" w:after="120" w:line="220" w:lineRule="exact"/>
        <w:ind w:left="454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Indices are compiled in comparable conditions on the basis of data reported; after half-year periods – with the correction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revisions from reporting half-year system;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d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) </w:t>
      </w:r>
      <w:proofErr w:type="gramStart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sold</w:t>
      </w:r>
      <w:proofErr w:type="gramEnd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production of industry and of assembly-construction, and wholesale and retail sale of goods cover those economic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units, in which the number of employed persons exceeds 9 persons;</w:t>
      </w:r>
    </w:p>
    <w:p w:rsidR="009F794E" w:rsidRPr="006B25CF" w:rsidRDefault="00AB27D4" w:rsidP="00D77AF0">
      <w:pPr>
        <w:autoSpaceDE w:val="0"/>
        <w:autoSpaceDN w:val="0"/>
        <w:adjustRightInd w:val="0"/>
        <w:spacing w:before="120" w:after="120" w:line="22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proofErr w:type="gramStart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e</w:t>
      </w:r>
      <w:proofErr w:type="gramEnd"/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production of products refer to entities – producers of industrial products (all kinds of activities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refer to those units), in which the number of employed persons exceeds 49 persons;</w:t>
      </w:r>
    </w:p>
    <w:p w:rsidR="009F794E" w:rsidRPr="006B25CF" w:rsidRDefault="00AB27D4" w:rsidP="00C56ECB">
      <w:pPr>
        <w:autoSpaceDE w:val="0"/>
        <w:autoSpaceDN w:val="0"/>
        <w:adjustRightInd w:val="0"/>
        <w:spacing w:before="120" w:after="120" w:line="24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f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) business tendency survey in manufacturing cover enterprises with the number of employed persons 10 and more;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in construction, trade; repair of motor vehicles and services – complete statistical population.</w:t>
      </w:r>
    </w:p>
    <w:p w:rsidR="009F794E" w:rsidRPr="006B25CF" w:rsidRDefault="00AB27D4" w:rsidP="00C56ECB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lastRenderedPageBreak/>
        <w:t>11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. </w:t>
      </w:r>
      <w:r w:rsidR="009F794E" w:rsidRPr="00854B26">
        <w:rPr>
          <w:rFonts w:ascii="Myriad Pro" w:hAnsi="Myriad Pro" w:cs="MyriadPro-Regular"/>
          <w:b/>
          <w:color w:val="767676"/>
          <w:spacing w:val="-2"/>
          <w:sz w:val="19"/>
          <w:szCs w:val="19"/>
          <w:lang w:val="en-US"/>
        </w:rPr>
        <w:t>Annual data</w:t>
      </w:r>
      <w:r w:rsidR="009F794E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in the Statistical Bulletin are presented: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a) in comparable conditions with monthly and quarterly data, nevertheless grand totals of selected monthly and quarterly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data may differ from data on an accrued base; annual data presented in the second half of the year (corrected data) may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differ in the subject scope in comparison with monthly data for this year;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b) </w:t>
      </w:r>
      <w:proofErr w:type="gramStart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in</w:t>
      </w:r>
      <w:proofErr w:type="gramEnd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selected tables – in addition – for complete statistical population in relation to subjects, that is, covering all units,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regardless the number of employed persons as well as in relation to objects;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510" w:hanging="255"/>
        <w:jc w:val="both"/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c) </w:t>
      </w:r>
      <w:proofErr w:type="gramStart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in</w:t>
      </w:r>
      <w:proofErr w:type="gramEnd"/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tables referring to procurement of agricultural products and production of products annual data</w:t>
      </w:r>
      <w:r w:rsidR="005407D7"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2"/>
          <w:sz w:val="19"/>
          <w:szCs w:val="19"/>
          <w:lang w:val="en-US"/>
        </w:rPr>
        <w:t>are revised in the second half year, in addition, by the results including: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596" w:hanging="142"/>
        <w:jc w:val="both"/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• </w:t>
      </w:r>
      <w:proofErr w:type="gramStart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in</w:t>
      </w:r>
      <w:proofErr w:type="gramEnd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the case of procurement – natural persons conducting procurement (see item </w:t>
      </w:r>
      <w:r w:rsidR="00AB27D4"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10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. c) of general notes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596" w:hanging="142"/>
        <w:jc w:val="both"/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</w:pP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• </w:t>
      </w:r>
      <w:proofErr w:type="gramStart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in</w:t>
      </w:r>
      <w:proofErr w:type="gramEnd"/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the case of production of products – producers of industrial products, in which the number of employed persons</w:t>
      </w:r>
      <w:r w:rsidR="005407D7"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exceeds 9 persons and not higher than 49 persons. Indices are calculated in comparable conditions on the basis data</w:t>
      </w:r>
      <w:r w:rsidR="005407D7"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Symbol"/>
          <w:color w:val="767676"/>
          <w:spacing w:val="-2"/>
          <w:sz w:val="19"/>
          <w:szCs w:val="19"/>
          <w:lang w:val="en-US"/>
        </w:rPr>
        <w:t>from reporting of monthly system.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2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Information relating to the enterprise sector is presented based on the definition of ”enterprise” – introduced by the regulation</w:t>
      </w:r>
      <w:r w:rsidR="005407D7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of the Council (EEC) No 696/93 of 15 March 1993 on the statistical units for the observation and analysis of the production system</w:t>
      </w:r>
      <w:r w:rsidR="005407D7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in the Community. In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accordance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with the above-mentioned Regulation the enterprise is the smallest combination of legal units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that is an organizational unit producing goods or services, which benefits from a certain degree of autonomy in decision-making,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especially for the allocation of its current resources. An enterprise carries out one or more activities at one or more locations.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An enterprise may be a sole legal unit. Enterprise sector includes those entities, which carry out economic activities in the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following areas: forestry and logging; marine fishing; mining and quarrying; manufacturing; electricity, gas, steam and air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conditioning supply; water supply; sewerage, waste management and remediation activities; construction; wholesale and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retail trade; repair of motor vehicles and motorcycles; transportation and storage; accommodation and food service activities;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information and communication; real estate activities; legal and accounting activities; activities of head offices; management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consultancy activities; architectural and engineering activities; technical testing and analysis; advertising and market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research; other professional, scientific and technical activities; administrative and support service activities; arts,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entertainment and recreation; repair of computers and personal and household goods; other personal service activities.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3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The value of production and volume indices, if not indicated otherwise, are not seasonally adjusted.</w:t>
      </w:r>
    </w:p>
    <w:p w:rsidR="009F794E" w:rsidRPr="00AD57F6" w:rsidRDefault="009F794E" w:rsidP="00AD57F6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4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. </w:t>
      </w:r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Seasonally adjusted data, including indicators of production and turnover in retail trade, as well as business tendency</w:t>
      </w:r>
      <w:r w:rsid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indicators and gross domestic product (GDP) and its components, are obtained using the </w:t>
      </w:r>
      <w:proofErr w:type="spellStart"/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TRAMO</w:t>
      </w:r>
      <w:proofErr w:type="spellEnd"/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/SEATS method</w:t>
      </w:r>
      <w:r w:rsid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implemented in the </w:t>
      </w:r>
      <w:proofErr w:type="spellStart"/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JDemetra</w:t>
      </w:r>
      <w:proofErr w:type="spellEnd"/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+ software. Seasonal adjustment consists in elimination of calendar effects (including the</w:t>
      </w:r>
      <w:r w:rsid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variability of the number of working days) and seasonal effects (regular fluctuations around the trend observed in annual</w:t>
      </w:r>
      <w:r w:rsid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AD57F6" w:rsidRPr="00AD57F6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cycle). The adjusted data contains the trend and irregular component.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5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In the tables – unless otherwise stated – data in terms of value and structural indicators are presented at current prices and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indices, on the basis of value at constant prices. As constant prices in year 2010 were adopted – 2005 constant prices (2005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average current prices), in years 2011–2015 – 2010 constant prices (2010 average current prices), and since 2016 – 2015 constant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prices (2015 average current prices), excluding foreign trade turnover in the case of which, as constant prices the average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current prices from the year preceding the surveyed year were used as well as investment outlays and retail sales – as constant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prices the current prices from corresponding period of previous year were used.</w:t>
      </w:r>
    </w:p>
    <w:p w:rsidR="00AB27D4" w:rsidRPr="006B25CF" w:rsidRDefault="00AB27D4">
      <w:pPr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br w:type="page"/>
      </w:r>
    </w:p>
    <w:p w:rsidR="009F794E" w:rsidRPr="006B25CF" w:rsidRDefault="00AB27D4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lastRenderedPageBreak/>
        <w:t>16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. In the case of methodological changes and changes in the system of constant prices, indices are calculated using 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the chain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-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base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index method.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7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Data by the NACE Rev. 2 sections, divisions and groups and by voivodships are compiled following the enterprise (entity)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method, the entire organizational unit of entities in the national economy is the basis for grouping all data describing their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activity according to individual classification levels and territorial divisions.</w:t>
      </w:r>
    </w:p>
    <w:p w:rsidR="00C44AB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8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.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Some figures are provisional and may be subject to revision in next editions of the Statistical Bulletin. Such revised data will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 xml:space="preserve">be marked with sign 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“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*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”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GB"/>
        </w:rPr>
        <w:t>.</w:t>
      </w:r>
    </w:p>
    <w:p w:rsidR="009F794E" w:rsidRPr="006B25CF" w:rsidRDefault="009F794E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1</w:t>
      </w:r>
      <w:r w:rsidR="00AB27D4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9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Relative numbers (indices, percentages) are calculated, as a rule, on the basis of absolute data expressed with higher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precision than that presented in tables.</w:t>
      </w:r>
    </w:p>
    <w:p w:rsidR="009F794E" w:rsidRPr="006B25CF" w:rsidRDefault="00AB27D4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20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Due to the rounding of data, in some cases sums of components can differ from the amount given in the item</w:t>
      </w:r>
      <w:r w:rsidR="00E72DE0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“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total”.</w:t>
      </w:r>
    </w:p>
    <w:p w:rsidR="009F794E" w:rsidRPr="006B25CF" w:rsidRDefault="00AB27D4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21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. In tables presenting monthly data on the side, when such data are not available, quarterly data are shown in the line of the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month ending a given quarter.</w:t>
      </w:r>
    </w:p>
    <w:p w:rsidR="009F794E" w:rsidRPr="006B25CF" w:rsidRDefault="00AB27D4" w:rsidP="00C56ECB">
      <w:pPr>
        <w:autoSpaceDE w:val="0"/>
        <w:autoSpaceDN w:val="0"/>
        <w:adjustRightInd w:val="0"/>
        <w:spacing w:before="120" w:after="120" w:line="240" w:lineRule="exact"/>
        <w:ind w:left="227" w:hanging="227"/>
        <w:jc w:val="both"/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</w:pPr>
      <w:r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22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. Products are grouped according to 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PRODPOL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nomenclature compiled on the basis of the Polish Classification of Goods and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Services (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PKWiU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2015) and 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PRODCOM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List. </w:t>
      </w:r>
      <w:proofErr w:type="spellStart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PKWiU</w:t>
      </w:r>
      <w:proofErr w:type="spellEnd"/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2015 was introduced by the decree of Council of Ministers, dated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4 September 2015 (Journal of Laws, item 1676) to be used from 1 January 2016, in statistics, registration, documentation and</w:t>
      </w:r>
      <w:r w:rsidR="00C44AB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 xml:space="preserve"> </w:t>
      </w:r>
      <w:r w:rsidR="009F794E" w:rsidRPr="006B25CF">
        <w:rPr>
          <w:rFonts w:ascii="Myriad Pro" w:hAnsi="Myriad Pro" w:cs="MyriadPro-Regular"/>
          <w:color w:val="767676"/>
          <w:spacing w:val="-4"/>
          <w:sz w:val="19"/>
          <w:szCs w:val="19"/>
          <w:lang w:val="en-US"/>
        </w:rPr>
        <w:t>accounting, and also in official registers and public administration information systems.</w:t>
      </w:r>
    </w:p>
    <w:p w:rsidR="009F794E" w:rsidRPr="006B25CF" w:rsidRDefault="009F794E" w:rsidP="009F794E">
      <w:pPr>
        <w:autoSpaceDE w:val="0"/>
        <w:autoSpaceDN w:val="0"/>
        <w:adjustRightInd w:val="0"/>
        <w:spacing w:before="50" w:after="50" w:line="200" w:lineRule="exact"/>
        <w:ind w:left="510" w:hanging="255"/>
        <w:jc w:val="both"/>
        <w:rPr>
          <w:rFonts w:ascii="Myriad Pro" w:hAnsi="Myriad Pro" w:cs="MyriadPro-Regular"/>
          <w:color w:val="767676"/>
          <w:sz w:val="19"/>
          <w:szCs w:val="19"/>
          <w:lang w:val="en-US"/>
        </w:rPr>
      </w:pPr>
    </w:p>
    <w:p w:rsidR="009F794E" w:rsidRPr="006B25CF" w:rsidRDefault="009F794E" w:rsidP="009F794E">
      <w:pPr>
        <w:autoSpaceDE w:val="0"/>
        <w:autoSpaceDN w:val="0"/>
        <w:adjustRightInd w:val="0"/>
        <w:spacing w:before="50" w:after="50" w:line="200" w:lineRule="exact"/>
        <w:ind w:left="510" w:hanging="255"/>
        <w:jc w:val="both"/>
        <w:rPr>
          <w:rFonts w:ascii="Myriad Pro" w:hAnsi="Myriad Pro" w:cs="MyriadPro-Regular"/>
          <w:color w:val="767676"/>
          <w:sz w:val="19"/>
          <w:szCs w:val="19"/>
          <w:lang w:val="en-US"/>
        </w:rPr>
      </w:pPr>
    </w:p>
    <w:sectPr w:rsidR="009F794E" w:rsidRPr="006B25CF" w:rsidSect="00000AF2">
      <w:headerReference w:type="even" r:id="rId6"/>
      <w:headerReference w:type="default" r:id="rId7"/>
      <w:footerReference w:type="default" r:id="rId8"/>
      <w:footerReference w:type="first" r:id="rId9"/>
      <w:pgSz w:w="11907" w:h="15309"/>
      <w:pgMar w:top="1418" w:right="1134" w:bottom="1418" w:left="1134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FC" w:rsidRDefault="005B0AFC" w:rsidP="009E08D8">
      <w:pPr>
        <w:spacing w:after="0" w:line="240" w:lineRule="auto"/>
      </w:pPr>
      <w:r>
        <w:separator/>
      </w:r>
    </w:p>
  </w:endnote>
  <w:endnote w:type="continuationSeparator" w:id="0">
    <w:p w:rsidR="005B0AFC" w:rsidRDefault="005B0AFC" w:rsidP="009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29243"/>
      <w:docPartObj>
        <w:docPartGallery w:val="Page Numbers (Bottom of Page)"/>
        <w:docPartUnique/>
      </w:docPartObj>
    </w:sdtPr>
    <w:sdtEndPr/>
    <w:sdtContent>
      <w:p w:rsidR="005B0AFC" w:rsidRDefault="00B150E9">
        <w:pPr>
          <w:pStyle w:val="Stopka"/>
          <w:jc w:val="right"/>
        </w:pPr>
      </w:p>
    </w:sdtContent>
  </w:sdt>
  <w:p w:rsidR="005B0AFC" w:rsidRDefault="005B0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652734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5B0AFC" w:rsidRPr="00342B96" w:rsidRDefault="00B150E9">
        <w:pPr>
          <w:pStyle w:val="Stopka"/>
          <w:jc w:val="right"/>
          <w:rPr>
            <w:rFonts w:ascii="Fira Sans" w:hAnsi="Fira Sans"/>
            <w:sz w:val="19"/>
            <w:szCs w:val="19"/>
          </w:rPr>
        </w:pPr>
      </w:p>
    </w:sdtContent>
  </w:sdt>
  <w:p w:rsidR="005B0AFC" w:rsidRDefault="005B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FC" w:rsidRDefault="005B0AFC" w:rsidP="009E08D8">
      <w:pPr>
        <w:spacing w:after="0" w:line="240" w:lineRule="auto"/>
      </w:pPr>
      <w:r>
        <w:separator/>
      </w:r>
    </w:p>
  </w:footnote>
  <w:footnote w:type="continuationSeparator" w:id="0">
    <w:p w:rsidR="005B0AFC" w:rsidRDefault="005B0AFC" w:rsidP="009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9"/>
    </w:tblGrid>
    <w:tr w:rsidR="006A030B" w:rsidRPr="00E811F1" w:rsidTr="006A030B">
      <w:tc>
        <w:tcPr>
          <w:tcW w:w="9629" w:type="dxa"/>
          <w:tcBorders>
            <w:top w:val="nil"/>
            <w:left w:val="nil"/>
            <w:right w:val="nil"/>
          </w:tcBorders>
        </w:tcPr>
        <w:sdt>
          <w:sdtPr>
            <w:rPr>
              <w:rFonts w:ascii="Myriad Pro" w:hAnsi="Myriad Pro"/>
            </w:rPr>
            <w:id w:val="-929424001"/>
            <w:docPartObj>
              <w:docPartGallery w:val="Page Numbers (Top of Page)"/>
              <w:docPartUnique/>
            </w:docPartObj>
          </w:sdtPr>
          <w:sdtEndPr/>
          <w:sdtContent>
            <w:p w:rsidR="006A030B" w:rsidRPr="00E811F1" w:rsidRDefault="006A030B" w:rsidP="00F1524A">
              <w:pPr>
                <w:pStyle w:val="Nagwek"/>
                <w:tabs>
                  <w:tab w:val="clear" w:pos="4536"/>
                  <w:tab w:val="center" w:pos="4820"/>
                </w:tabs>
                <w:rPr>
                  <w:rFonts w:ascii="Myriad Pro" w:hAnsi="Myriad Pro"/>
                </w:rPr>
              </w:pPr>
              <w:r w:rsidRPr="00E811F1">
                <w:rPr>
                  <w:rFonts w:ascii="Myriad Pro" w:hAnsi="Myriad Pro"/>
                  <w:sz w:val="18"/>
                  <w:szCs w:val="18"/>
                </w:rPr>
                <w:fldChar w:fldCharType="begin"/>
              </w:r>
              <w:r w:rsidRPr="00E811F1">
                <w:rPr>
                  <w:rFonts w:ascii="Myriad Pro" w:hAnsi="Myriad Pro"/>
                  <w:sz w:val="18"/>
                  <w:szCs w:val="18"/>
                </w:rPr>
                <w:instrText>PAGE   \* MERGEFORMAT</w:instrText>
              </w:r>
              <w:r w:rsidRPr="00E811F1">
                <w:rPr>
                  <w:rFonts w:ascii="Myriad Pro" w:hAnsi="Myriad Pro"/>
                  <w:sz w:val="18"/>
                  <w:szCs w:val="18"/>
                </w:rPr>
                <w:fldChar w:fldCharType="separate"/>
              </w:r>
              <w:r w:rsidR="00B150E9">
                <w:rPr>
                  <w:rFonts w:ascii="Myriad Pro" w:hAnsi="Myriad Pro"/>
                  <w:noProof/>
                  <w:sz w:val="18"/>
                  <w:szCs w:val="18"/>
                </w:rPr>
                <w:t>98</w:t>
              </w:r>
              <w:r w:rsidRPr="00E811F1">
                <w:rPr>
                  <w:rFonts w:ascii="Myriad Pro" w:hAnsi="Myriad Pro"/>
                  <w:sz w:val="18"/>
                  <w:szCs w:val="18"/>
                </w:rPr>
                <w:fldChar w:fldCharType="end"/>
              </w:r>
              <w:r w:rsidRPr="00E811F1">
                <w:rPr>
                  <w:rFonts w:ascii="Myriad Pro" w:hAnsi="Myriad Pro"/>
                  <w:sz w:val="18"/>
                  <w:szCs w:val="18"/>
                </w:rPr>
                <w:tab/>
              </w:r>
              <w:r w:rsidR="00F1524A" w:rsidRPr="00E811F1">
                <w:rPr>
                  <w:rFonts w:ascii="Myriad Pro" w:hAnsi="Myriad Pro"/>
                  <w:sz w:val="14"/>
                  <w:szCs w:val="14"/>
                  <w:lang w:val="en-GB"/>
                </w:rPr>
                <w:t>GENERAL NOTES</w:t>
              </w:r>
            </w:p>
          </w:sdtContent>
        </w:sdt>
      </w:tc>
    </w:tr>
  </w:tbl>
  <w:p w:rsidR="005B0AFC" w:rsidRPr="00E45B13" w:rsidRDefault="005B0AFC" w:rsidP="007B7338">
    <w:pPr>
      <w:pStyle w:val="Nagwek"/>
      <w:rPr>
        <w:rFonts w:ascii="Fira Sans" w:hAnsi="Fira Sans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9"/>
    </w:tblGrid>
    <w:tr w:rsidR="004B57E2" w:rsidRPr="00337B8C" w:rsidTr="004B57E2">
      <w:tc>
        <w:tcPr>
          <w:tcW w:w="9629" w:type="dxa"/>
        </w:tcPr>
        <w:sdt>
          <w:sdtPr>
            <w:rPr>
              <w:rFonts w:ascii="Myriad Pro" w:hAnsi="Myriad Pro"/>
            </w:rPr>
            <w:id w:val="-552693301"/>
            <w:docPartObj>
              <w:docPartGallery w:val="Page Numbers (Top of Page)"/>
              <w:docPartUnique/>
            </w:docPartObj>
          </w:sdtPr>
          <w:sdtEndPr/>
          <w:sdtContent>
            <w:p w:rsidR="004B57E2" w:rsidRPr="00337B8C" w:rsidRDefault="006004C9" w:rsidP="006004C9">
              <w:pPr>
                <w:pStyle w:val="Nagwek"/>
                <w:tabs>
                  <w:tab w:val="clear" w:pos="4536"/>
                  <w:tab w:val="center" w:pos="5103"/>
                </w:tabs>
                <w:jc w:val="right"/>
                <w:rPr>
                  <w:rFonts w:ascii="Myriad Pro" w:hAnsi="Myriad Pro"/>
                </w:rPr>
              </w:pPr>
              <w:r w:rsidRPr="00337B8C">
                <w:rPr>
                  <w:rFonts w:ascii="Myriad Pro" w:hAnsi="Myriad Pro"/>
                  <w:sz w:val="14"/>
                  <w:szCs w:val="14"/>
                </w:rPr>
                <w:t>UWAGI OGÓLNE</w:t>
              </w:r>
              <w:r w:rsidR="004B57E2" w:rsidRPr="00337B8C">
                <w:rPr>
                  <w:rFonts w:ascii="Myriad Pro" w:hAnsi="Myriad Pro"/>
                  <w:sz w:val="14"/>
                  <w:szCs w:val="14"/>
                </w:rPr>
                <w:tab/>
              </w:r>
              <w:r w:rsidR="004B57E2" w:rsidRPr="00337B8C">
                <w:rPr>
                  <w:rFonts w:ascii="Myriad Pro" w:hAnsi="Myriad Pro"/>
                  <w:sz w:val="18"/>
                  <w:szCs w:val="18"/>
                </w:rPr>
                <w:fldChar w:fldCharType="begin"/>
              </w:r>
              <w:r w:rsidR="004B57E2" w:rsidRPr="00337B8C">
                <w:rPr>
                  <w:rFonts w:ascii="Myriad Pro" w:hAnsi="Myriad Pro"/>
                  <w:sz w:val="18"/>
                  <w:szCs w:val="18"/>
                </w:rPr>
                <w:instrText>PAGE   \* MERGEFORMAT</w:instrText>
              </w:r>
              <w:r w:rsidR="004B57E2" w:rsidRPr="00337B8C">
                <w:rPr>
                  <w:rFonts w:ascii="Myriad Pro" w:hAnsi="Myriad Pro"/>
                  <w:sz w:val="18"/>
                  <w:szCs w:val="18"/>
                </w:rPr>
                <w:fldChar w:fldCharType="separate"/>
              </w:r>
              <w:r w:rsidR="00B150E9">
                <w:rPr>
                  <w:rFonts w:ascii="Myriad Pro" w:hAnsi="Myriad Pro"/>
                  <w:noProof/>
                  <w:sz w:val="18"/>
                  <w:szCs w:val="18"/>
                </w:rPr>
                <w:t>99</w:t>
              </w:r>
              <w:r w:rsidR="004B57E2" w:rsidRPr="00337B8C">
                <w:rPr>
                  <w:rFonts w:ascii="Myriad Pro" w:hAnsi="Myriad Pro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5B0AFC" w:rsidRPr="00E45B13" w:rsidRDefault="005B0AFC" w:rsidP="00E45B13">
    <w:pPr>
      <w:pStyle w:val="Nagwek"/>
      <w:rPr>
        <w:rFonts w:ascii="Fira Sans" w:hAnsi="Fira Sans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397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6"/>
    <w:rsid w:val="00000AF2"/>
    <w:rsid w:val="00011965"/>
    <w:rsid w:val="00063D94"/>
    <w:rsid w:val="00077F12"/>
    <w:rsid w:val="000905AF"/>
    <w:rsid w:val="000A6427"/>
    <w:rsid w:val="000C1F72"/>
    <w:rsid w:val="000F7EF3"/>
    <w:rsid w:val="00100FC6"/>
    <w:rsid w:val="001327D7"/>
    <w:rsid w:val="001424B4"/>
    <w:rsid w:val="0014693D"/>
    <w:rsid w:val="001573F8"/>
    <w:rsid w:val="00172816"/>
    <w:rsid w:val="001805A4"/>
    <w:rsid w:val="00186FA3"/>
    <w:rsid w:val="00190F6A"/>
    <w:rsid w:val="001944C5"/>
    <w:rsid w:val="001A655C"/>
    <w:rsid w:val="001A6C1A"/>
    <w:rsid w:val="001A77BC"/>
    <w:rsid w:val="001C3CC5"/>
    <w:rsid w:val="001D1C46"/>
    <w:rsid w:val="0020400C"/>
    <w:rsid w:val="00236199"/>
    <w:rsid w:val="00245BF0"/>
    <w:rsid w:val="002611E2"/>
    <w:rsid w:val="0027079E"/>
    <w:rsid w:val="002721C8"/>
    <w:rsid w:val="002C051F"/>
    <w:rsid w:val="002F67D3"/>
    <w:rsid w:val="003212FD"/>
    <w:rsid w:val="00337B8C"/>
    <w:rsid w:val="00342B96"/>
    <w:rsid w:val="00350E1B"/>
    <w:rsid w:val="00392053"/>
    <w:rsid w:val="003C7ACD"/>
    <w:rsid w:val="003E327B"/>
    <w:rsid w:val="003E5E32"/>
    <w:rsid w:val="003E700E"/>
    <w:rsid w:val="004122DF"/>
    <w:rsid w:val="0044067D"/>
    <w:rsid w:val="0047246C"/>
    <w:rsid w:val="004912DE"/>
    <w:rsid w:val="004B15E2"/>
    <w:rsid w:val="004B57E2"/>
    <w:rsid w:val="004F048A"/>
    <w:rsid w:val="004F5F36"/>
    <w:rsid w:val="00523D25"/>
    <w:rsid w:val="0053361F"/>
    <w:rsid w:val="00533C63"/>
    <w:rsid w:val="005407D7"/>
    <w:rsid w:val="00547A59"/>
    <w:rsid w:val="00584B4F"/>
    <w:rsid w:val="0059251B"/>
    <w:rsid w:val="005A5726"/>
    <w:rsid w:val="005B0AFC"/>
    <w:rsid w:val="005D193C"/>
    <w:rsid w:val="006004C9"/>
    <w:rsid w:val="00635707"/>
    <w:rsid w:val="0064127D"/>
    <w:rsid w:val="00641746"/>
    <w:rsid w:val="00643F34"/>
    <w:rsid w:val="00672D0B"/>
    <w:rsid w:val="006A030B"/>
    <w:rsid w:val="006B25CF"/>
    <w:rsid w:val="006E0C9F"/>
    <w:rsid w:val="00700332"/>
    <w:rsid w:val="00703D9F"/>
    <w:rsid w:val="00707D34"/>
    <w:rsid w:val="00717DF2"/>
    <w:rsid w:val="007311F6"/>
    <w:rsid w:val="00737317"/>
    <w:rsid w:val="007374C2"/>
    <w:rsid w:val="00755CD6"/>
    <w:rsid w:val="00767F4D"/>
    <w:rsid w:val="00770C12"/>
    <w:rsid w:val="007B7338"/>
    <w:rsid w:val="007F225C"/>
    <w:rsid w:val="00837625"/>
    <w:rsid w:val="00854B26"/>
    <w:rsid w:val="00860E4A"/>
    <w:rsid w:val="008633E3"/>
    <w:rsid w:val="00870A31"/>
    <w:rsid w:val="00881720"/>
    <w:rsid w:val="00891C0B"/>
    <w:rsid w:val="008A0742"/>
    <w:rsid w:val="008A4F00"/>
    <w:rsid w:val="008D4C1D"/>
    <w:rsid w:val="008D591D"/>
    <w:rsid w:val="008E1AE3"/>
    <w:rsid w:val="008F4BA0"/>
    <w:rsid w:val="00903532"/>
    <w:rsid w:val="00907D37"/>
    <w:rsid w:val="00914636"/>
    <w:rsid w:val="0091761D"/>
    <w:rsid w:val="009330B4"/>
    <w:rsid w:val="0097683D"/>
    <w:rsid w:val="009A56F9"/>
    <w:rsid w:val="009B7091"/>
    <w:rsid w:val="009E08D8"/>
    <w:rsid w:val="009F794E"/>
    <w:rsid w:val="00A25553"/>
    <w:rsid w:val="00A35BB8"/>
    <w:rsid w:val="00A5110E"/>
    <w:rsid w:val="00A74BBF"/>
    <w:rsid w:val="00A900A0"/>
    <w:rsid w:val="00A96FF0"/>
    <w:rsid w:val="00AA6685"/>
    <w:rsid w:val="00AA675F"/>
    <w:rsid w:val="00AB27D4"/>
    <w:rsid w:val="00AD57F6"/>
    <w:rsid w:val="00AD6446"/>
    <w:rsid w:val="00B0766D"/>
    <w:rsid w:val="00B14F06"/>
    <w:rsid w:val="00B150E9"/>
    <w:rsid w:val="00B60708"/>
    <w:rsid w:val="00B7672F"/>
    <w:rsid w:val="00BA6B65"/>
    <w:rsid w:val="00BC55DE"/>
    <w:rsid w:val="00BD0874"/>
    <w:rsid w:val="00C44ABE"/>
    <w:rsid w:val="00C56ECB"/>
    <w:rsid w:val="00C81920"/>
    <w:rsid w:val="00C873E1"/>
    <w:rsid w:val="00CC787C"/>
    <w:rsid w:val="00D026CD"/>
    <w:rsid w:val="00D16C63"/>
    <w:rsid w:val="00D32D7B"/>
    <w:rsid w:val="00D77AF0"/>
    <w:rsid w:val="00D854F1"/>
    <w:rsid w:val="00DA32FE"/>
    <w:rsid w:val="00DA6E35"/>
    <w:rsid w:val="00DD480C"/>
    <w:rsid w:val="00DF7BB6"/>
    <w:rsid w:val="00E13AD6"/>
    <w:rsid w:val="00E45B13"/>
    <w:rsid w:val="00E72DE0"/>
    <w:rsid w:val="00E72E85"/>
    <w:rsid w:val="00E75877"/>
    <w:rsid w:val="00E773CA"/>
    <w:rsid w:val="00E811F1"/>
    <w:rsid w:val="00E9460E"/>
    <w:rsid w:val="00F02235"/>
    <w:rsid w:val="00F1524A"/>
    <w:rsid w:val="00F7370A"/>
    <w:rsid w:val="00FA688A"/>
    <w:rsid w:val="00FD451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D29344D-4AE5-4C21-A722-A9817F29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907D37"/>
    <w:pPr>
      <w:keepNext/>
      <w:keepLines/>
      <w:spacing w:before="40" w:after="0" w:line="24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8D8"/>
  </w:style>
  <w:style w:type="paragraph" w:styleId="Stopka">
    <w:name w:val="footer"/>
    <w:basedOn w:val="Normalny"/>
    <w:link w:val="StopkaZnak"/>
    <w:uiPriority w:val="99"/>
    <w:unhideWhenUsed/>
    <w:rsid w:val="009E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8D8"/>
  </w:style>
  <w:style w:type="character" w:customStyle="1" w:styleId="Nagwek2Znak">
    <w:name w:val="Nagłówek 2 Znak"/>
    <w:basedOn w:val="Domylnaczcionkaakapitu"/>
    <w:link w:val="Nagwek2"/>
    <w:rsid w:val="00907D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73CA"/>
    <w:rPr>
      <w:strike w:val="0"/>
      <w:dstrike w:val="0"/>
      <w:color w:val="001D7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Małgorzata</dc:creator>
  <cp:keywords/>
  <dc:description/>
  <cp:lastModifiedBy>Sadowska Małgorzata</cp:lastModifiedBy>
  <cp:revision>22</cp:revision>
  <cp:lastPrinted>2018-05-29T08:14:00Z</cp:lastPrinted>
  <dcterms:created xsi:type="dcterms:W3CDTF">2018-04-18T10:09:00Z</dcterms:created>
  <dcterms:modified xsi:type="dcterms:W3CDTF">2021-05-28T10:33:00Z</dcterms:modified>
</cp:coreProperties>
</file>